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 xml:space="preserve">Public Utility Commission of </w:t>
      </w:r>
      <w:smartTag w:uri="urn:schemas-microsoft-com:office:smarttags" w:element="place">
        <w:smartTag w:uri="urn:schemas-microsoft-com:office:smarttags" w:element="State">
          <w:r w:rsidRPr="003E3FA5">
            <w:rPr>
              <w:rFonts w:ascii="Times New Roman" w:eastAsia="Times New Roman" w:hAnsi="Times New Roman" w:cs="Times New Roman"/>
              <w:b/>
              <w:i/>
              <w:sz w:val="38"/>
              <w:szCs w:val="20"/>
            </w:rPr>
            <w:t>Texas</w:t>
          </w:r>
        </w:smartTag>
      </w:smartTag>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28D505B" w14:textId="1306F763" w:rsidR="00384A9D" w:rsidRPr="003E3FA5" w:rsidRDefault="00384A9D" w:rsidP="00384A9D">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John Harrison </w:t>
      </w:r>
    </w:p>
    <w:p w14:paraId="025062B8" w14:textId="77777777" w:rsidR="00384A9D" w:rsidRPr="003E3FA5" w:rsidRDefault="00384A9D" w:rsidP="00384A9D">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0E7CE0A" w14:textId="77777777" w:rsidR="00384A9D" w:rsidRPr="003E3FA5" w:rsidRDefault="00384A9D" w:rsidP="00384A9D">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37D83204" w14:textId="6753A4C8" w:rsidR="00384A9D" w:rsidRPr="003E3FA5" w:rsidRDefault="00384A9D" w:rsidP="00384A9D">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r>
        <w:rPr>
          <w:rFonts w:ascii="Times New Roman" w:eastAsia="Times New Roman" w:hAnsi="Times New Roman" w:cs="Times New Roman"/>
          <w:sz w:val="24"/>
          <w:szCs w:val="24"/>
        </w:rPr>
        <w:t xml:space="preserve"> </w:t>
      </w:r>
    </w:p>
    <w:p w14:paraId="7C039439" w14:textId="77777777" w:rsidR="00384A9D" w:rsidRPr="003E3FA5" w:rsidRDefault="00384A9D" w:rsidP="00384A9D">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305A4791" w14:textId="77777777" w:rsidR="00384A9D" w:rsidRPr="003E3FA5" w:rsidRDefault="00384A9D" w:rsidP="00384A9D">
      <w:pPr>
        <w:spacing w:after="0" w:line="240" w:lineRule="auto"/>
        <w:jc w:val="both"/>
        <w:rPr>
          <w:rFonts w:ascii="Times New Roman" w:eastAsia="Times New Roman" w:hAnsi="Times New Roman" w:cs="Times New Roman"/>
          <w:sz w:val="24"/>
          <w:szCs w:val="24"/>
        </w:rPr>
      </w:pPr>
    </w:p>
    <w:p w14:paraId="12785F11" w14:textId="39260EFF" w:rsidR="00384A9D" w:rsidRPr="003E3FA5" w:rsidRDefault="00384A9D" w:rsidP="00384A9D">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D7356D">
        <w:rPr>
          <w:rFonts w:ascii="Times New Roman" w:eastAsia="Times New Roman" w:hAnsi="Times New Roman" w:cs="Times New Roman"/>
          <w:sz w:val="24"/>
          <w:szCs w:val="24"/>
        </w:rPr>
        <w:t>March 23</w:t>
      </w:r>
      <w:r w:rsidRPr="003E3FA5">
        <w:rPr>
          <w:rFonts w:ascii="Times New Roman" w:eastAsia="Times New Roman" w:hAnsi="Times New Roman" w:cs="Times New Roman"/>
          <w:sz w:val="24"/>
          <w:szCs w:val="24"/>
        </w:rPr>
        <w:t>, 202</w:t>
      </w:r>
      <w:r w:rsidR="00D7356D">
        <w:rPr>
          <w:rFonts w:ascii="Times New Roman" w:eastAsia="Times New Roman" w:hAnsi="Times New Roman" w:cs="Times New Roman"/>
          <w:sz w:val="24"/>
          <w:szCs w:val="24"/>
        </w:rPr>
        <w:t>3</w:t>
      </w:r>
    </w:p>
    <w:p w14:paraId="2EE3DD67" w14:textId="77777777" w:rsidR="00384A9D" w:rsidRPr="003E3FA5" w:rsidRDefault="00384A9D" w:rsidP="00384A9D">
      <w:pPr>
        <w:spacing w:after="0" w:line="240" w:lineRule="auto"/>
        <w:ind w:left="1440" w:hanging="1440"/>
        <w:jc w:val="both"/>
        <w:rPr>
          <w:rFonts w:ascii="Times New Roman" w:eastAsia="Times New Roman" w:hAnsi="Times New Roman" w:cs="Times New Roman"/>
          <w:sz w:val="24"/>
          <w:szCs w:val="24"/>
        </w:rPr>
      </w:pPr>
    </w:p>
    <w:p w14:paraId="76B1842B" w14:textId="77777777" w:rsidR="00384A9D" w:rsidRPr="003E3FA5" w:rsidRDefault="00384A9D" w:rsidP="00384A9D">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bookmarkStart w:id="1" w:name="_Hlk102642903"/>
      <w:r>
        <w:rPr>
          <w:rFonts w:ascii="Times New Roman" w:eastAsia="Times New Roman" w:hAnsi="Times New Roman" w:cs="Times New Roman"/>
          <w:bCs/>
          <w:iCs/>
          <w:sz w:val="24"/>
          <w:szCs w:val="24"/>
        </w:rPr>
        <w:t>53485</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 xml:space="preserve">Application of </w:t>
      </w:r>
      <w:r>
        <w:rPr>
          <w:rFonts w:ascii="Times New Roman" w:eastAsia="Times New Roman" w:hAnsi="Times New Roman" w:cs="Times New Roman"/>
          <w:bCs/>
          <w:i/>
          <w:iCs/>
          <w:sz w:val="24"/>
          <w:szCs w:val="24"/>
        </w:rPr>
        <w:t xml:space="preserve">Gideon Water, LLC to for a Certificate of Convenience and Necessity in Montgomery </w:t>
      </w:r>
      <w:r w:rsidRPr="00147CE5">
        <w:rPr>
          <w:rFonts w:ascii="Times New Roman" w:eastAsia="Times New Roman" w:hAnsi="Times New Roman" w:cs="Times New Roman"/>
          <w:bCs/>
          <w:i/>
          <w:iCs/>
          <w:sz w:val="24"/>
          <w:szCs w:val="24"/>
        </w:rPr>
        <w:t>Count</w:t>
      </w:r>
      <w:r>
        <w:rPr>
          <w:rFonts w:ascii="Times New Roman" w:eastAsia="Times New Roman" w:hAnsi="Times New Roman" w:cs="Times New Roman"/>
          <w:bCs/>
          <w:i/>
          <w:iCs/>
          <w:sz w:val="24"/>
          <w:szCs w:val="24"/>
        </w:rPr>
        <w:t>y</w:t>
      </w:r>
      <w:bookmarkEnd w:id="1"/>
    </w:p>
    <w:p w14:paraId="132857F7" w14:textId="77777777" w:rsidR="00384A9D" w:rsidRPr="003E3FA5" w:rsidRDefault="00384A9D" w:rsidP="004B42B3">
      <w:pPr>
        <w:widowControl w:val="0"/>
        <w:spacing w:after="0" w:line="240" w:lineRule="auto"/>
        <w:jc w:val="both"/>
        <w:rPr>
          <w:rFonts w:ascii="Times New Roman" w:eastAsia="Times New Roman" w:hAnsi="Times New Roman" w:cs="Times New Roman"/>
          <w:sz w:val="24"/>
          <w:szCs w:val="24"/>
        </w:rPr>
      </w:pPr>
    </w:p>
    <w:p w14:paraId="0DC35967" w14:textId="77777777" w:rsidR="00384A9D" w:rsidRPr="003E3FA5" w:rsidRDefault="00384A9D" w:rsidP="004B42B3">
      <w:pPr>
        <w:widowControl w:val="0"/>
        <w:spacing w:after="0" w:line="360" w:lineRule="auto"/>
        <w:ind w:firstLine="720"/>
        <w:jc w:val="both"/>
        <w:rPr>
          <w:rFonts w:ascii="Times New Roman" w:eastAsia="Times New Roman" w:hAnsi="Times New Roman" w:cs="Times New Roman"/>
          <w:sz w:val="24"/>
          <w:szCs w:val="24"/>
        </w:rPr>
      </w:pPr>
      <w:r w:rsidRPr="00147CE5">
        <w:rPr>
          <w:rFonts w:ascii="Times New Roman" w:eastAsia="Times New Roman" w:hAnsi="Times New Roman" w:cs="Times New Roman"/>
          <w:sz w:val="24"/>
          <w:szCs w:val="24"/>
        </w:rPr>
        <w:t xml:space="preserve">On April </w:t>
      </w:r>
      <w:r>
        <w:rPr>
          <w:rFonts w:ascii="Times New Roman" w:eastAsia="Times New Roman" w:hAnsi="Times New Roman" w:cs="Times New Roman"/>
          <w:sz w:val="24"/>
          <w:szCs w:val="24"/>
        </w:rPr>
        <w:t>12</w:t>
      </w:r>
      <w:r w:rsidRPr="00147CE5">
        <w:rPr>
          <w:rFonts w:ascii="Times New Roman" w:eastAsia="Times New Roman" w:hAnsi="Times New Roman" w:cs="Times New Roman"/>
          <w:sz w:val="24"/>
          <w:szCs w:val="24"/>
        </w:rPr>
        <w:t>, 2022,</w:t>
      </w:r>
      <w:r>
        <w:rPr>
          <w:rFonts w:ascii="Times New Roman" w:eastAsia="Times New Roman" w:hAnsi="Times New Roman" w:cs="Times New Roman"/>
          <w:sz w:val="24"/>
          <w:szCs w:val="24"/>
        </w:rPr>
        <w:t xml:space="preserve"> </w:t>
      </w:r>
      <w:bookmarkStart w:id="2" w:name="_Hlk102642922"/>
      <w:r>
        <w:rPr>
          <w:rFonts w:ascii="Times New Roman" w:eastAsia="Times New Roman" w:hAnsi="Times New Roman" w:cs="Times New Roman"/>
          <w:sz w:val="24"/>
          <w:szCs w:val="24"/>
        </w:rPr>
        <w:t>Gideon Water, LLC (Gideon Water)</w:t>
      </w:r>
      <w:r w:rsidRPr="00147CE5">
        <w:rPr>
          <w:rFonts w:ascii="Times New Roman" w:eastAsia="Times New Roman" w:hAnsi="Times New Roman" w:cs="Times New Roman"/>
          <w:sz w:val="24"/>
          <w:szCs w:val="24"/>
        </w:rPr>
        <w:t xml:space="preserve"> </w:t>
      </w:r>
      <w:bookmarkEnd w:id="2"/>
      <w:r w:rsidRPr="00147CE5">
        <w:rPr>
          <w:rFonts w:ascii="Times New Roman" w:eastAsia="Times New Roman" w:hAnsi="Times New Roman" w:cs="Times New Roman"/>
          <w:sz w:val="24"/>
          <w:szCs w:val="24"/>
        </w:rPr>
        <w:t xml:space="preserve">filed </w:t>
      </w:r>
      <w:r w:rsidRPr="00943294">
        <w:rPr>
          <w:rFonts w:ascii="Times New Roman" w:eastAsia="Times New Roman" w:hAnsi="Times New Roman" w:cs="Times New Roman"/>
          <w:sz w:val="24"/>
          <w:szCs w:val="24"/>
        </w:rPr>
        <w:t xml:space="preserve">an application for a water certificate of convenience and necessity (CCN) </w:t>
      </w:r>
      <w:bookmarkStart w:id="3" w:name="_Hlk102642942"/>
      <w:r w:rsidRPr="00943294">
        <w:rPr>
          <w:rFonts w:ascii="Times New Roman" w:eastAsia="Times New Roman" w:hAnsi="Times New Roman" w:cs="Times New Roman"/>
          <w:sz w:val="24"/>
          <w:szCs w:val="24"/>
        </w:rPr>
        <w:t>in Montgomery County under Subchapter G of Texas Water Code Chapter 13.</w:t>
      </w:r>
      <w:r>
        <w:rPr>
          <w:rFonts w:ascii="Times New Roman" w:eastAsia="Times New Roman" w:hAnsi="Times New Roman" w:cs="Times New Roman"/>
          <w:sz w:val="24"/>
          <w:szCs w:val="24"/>
        </w:rPr>
        <w:t xml:space="preserve"> </w:t>
      </w:r>
    </w:p>
    <w:bookmarkEnd w:id="3"/>
    <w:p w14:paraId="41C7DCC5" w14:textId="44C030AA" w:rsidR="00376E5F" w:rsidRPr="00973928" w:rsidRDefault="00376E5F" w:rsidP="004B42B3">
      <w:pPr>
        <w:widowControl w:val="0"/>
        <w:spacing w:after="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2932E1">
        <w:rPr>
          <w:rFonts w:ascii="Times New Roman" w:eastAsia="Times New Roman" w:hAnsi="Times New Roman" w:cs="Times New Roman"/>
          <w:sz w:val="24"/>
          <w:szCs w:val="24"/>
        </w:rPr>
        <w:t xml:space="preserve"> Gideon Water</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57193D7F" w14:textId="52EA57C1" w:rsidR="00E2548D" w:rsidRPr="001C59A0" w:rsidRDefault="00376E5F" w:rsidP="004B42B3">
      <w:pPr>
        <w:widowControl w:val="0"/>
        <w:spacing w:after="0" w:line="360" w:lineRule="auto"/>
        <w:jc w:val="both"/>
        <w:rPr>
          <w:rFonts w:ascii="Times New Roman" w:eastAsia="Times New Roman" w:hAnsi="Times New Roman" w:cs="Times New Roman"/>
          <w:b/>
          <w:bCs/>
          <w:sz w:val="24"/>
          <w:szCs w:val="24"/>
        </w:rPr>
      </w:pPr>
      <w:r w:rsidRPr="001C59A0">
        <w:rPr>
          <w:rFonts w:ascii="Times New Roman" w:eastAsia="Times New Roman" w:hAnsi="Times New Roman" w:cs="Times New Roman"/>
          <w:b/>
          <w:bCs/>
          <w:i/>
          <w:iCs/>
          <w:sz w:val="24"/>
          <w:szCs w:val="24"/>
        </w:rPr>
        <w:t>Leverage Test</w:t>
      </w:r>
    </w:p>
    <w:p w14:paraId="73C37606" w14:textId="3E731137" w:rsidR="004B42B3" w:rsidRDefault="002E45AC" w:rsidP="004B42B3">
      <w:pPr>
        <w:widowControl w:val="0"/>
        <w:spacing w:after="0" w:line="360" w:lineRule="auto"/>
        <w:ind w:firstLine="720"/>
        <w:jc w:val="both"/>
        <w:rPr>
          <w:rFonts w:ascii="Times New Roman" w:eastAsia="Times New Roman" w:hAnsi="Times New Roman" w:cs="Times New Roman"/>
          <w:sz w:val="24"/>
          <w:szCs w:val="24"/>
        </w:rPr>
      </w:pPr>
      <w:r w:rsidRPr="008953AF">
        <w:rPr>
          <w:rFonts w:ascii="Times New Roman" w:eastAsia="Times New Roman" w:hAnsi="Times New Roman" w:cs="Times New Roman"/>
          <w:sz w:val="24"/>
          <w:szCs w:val="24"/>
        </w:rPr>
        <w:t>My analysis is based on financial statements</w:t>
      </w:r>
      <w:r w:rsidR="004B42B3">
        <w:rPr>
          <w:rFonts w:ascii="Times New Roman" w:eastAsia="Times New Roman" w:hAnsi="Times New Roman" w:cs="Times New Roman"/>
          <w:sz w:val="24"/>
          <w:szCs w:val="24"/>
        </w:rPr>
        <w:t xml:space="preserve"> of</w:t>
      </w:r>
      <w:r w:rsidR="003D29F6">
        <w:rPr>
          <w:rFonts w:ascii="Times New Roman" w:eastAsia="Times New Roman" w:hAnsi="Times New Roman" w:cs="Times New Roman"/>
          <w:sz w:val="24"/>
          <w:szCs w:val="24"/>
        </w:rPr>
        <w:t xml:space="preserve"> Gideon Water’s affiliate—</w:t>
      </w:r>
      <w:r w:rsidR="004B42B3">
        <w:rPr>
          <w:rFonts w:ascii="Times New Roman" w:eastAsia="Times New Roman" w:hAnsi="Times New Roman" w:cs="Times New Roman"/>
          <w:sz w:val="24"/>
          <w:szCs w:val="24"/>
        </w:rPr>
        <w:t>Frey, Inc.</w:t>
      </w:r>
      <w:r w:rsidR="003D29F6">
        <w:rPr>
          <w:rFonts w:ascii="Times New Roman" w:eastAsia="Times New Roman" w:hAnsi="Times New Roman" w:cs="Times New Roman"/>
          <w:sz w:val="24"/>
          <w:szCs w:val="24"/>
        </w:rPr>
        <w:t>—</w:t>
      </w:r>
      <w:r w:rsidRPr="008953AF">
        <w:rPr>
          <w:rFonts w:ascii="Times New Roman" w:eastAsia="Times New Roman" w:hAnsi="Times New Roman" w:cs="Times New Roman"/>
          <w:sz w:val="24"/>
          <w:szCs w:val="24"/>
        </w:rPr>
        <w:t xml:space="preserve">ending December 31, </w:t>
      </w:r>
      <w:r w:rsidR="004B42B3">
        <w:rPr>
          <w:rFonts w:ascii="Times New Roman" w:eastAsia="Times New Roman" w:hAnsi="Times New Roman" w:cs="Times New Roman"/>
          <w:sz w:val="24"/>
          <w:szCs w:val="24"/>
        </w:rPr>
        <w:t>2021</w:t>
      </w:r>
      <w:r w:rsidRPr="008953AF">
        <w:rPr>
          <w:rFonts w:ascii="Times New Roman" w:eastAsia="Times New Roman" w:hAnsi="Times New Roman" w:cs="Times New Roman"/>
          <w:sz w:val="24"/>
          <w:szCs w:val="24"/>
        </w:rPr>
        <w:t>. These internally produced financial statements contain five years of projections and three years of historical data,</w:t>
      </w:r>
      <w:r w:rsidR="003D29F6">
        <w:rPr>
          <w:rStyle w:val="FootnoteReference"/>
          <w:rFonts w:ascii="Times New Roman" w:eastAsia="Times New Roman" w:hAnsi="Times New Roman" w:cs="Times New Roman"/>
          <w:sz w:val="24"/>
          <w:szCs w:val="24"/>
        </w:rPr>
        <w:footnoteReference w:id="1"/>
      </w:r>
      <w:r w:rsidR="00CC2891">
        <w:rPr>
          <w:rFonts w:ascii="Times New Roman" w:eastAsia="Times New Roman" w:hAnsi="Times New Roman" w:cs="Times New Roman"/>
          <w:sz w:val="24"/>
          <w:szCs w:val="24"/>
          <w:vertAlign w:val="superscript"/>
        </w:rPr>
        <w:t>,</w:t>
      </w:r>
      <w:r>
        <w:rPr>
          <w:rStyle w:val="FootnoteReference"/>
          <w:rFonts w:ascii="Times New Roman" w:eastAsia="Times New Roman" w:hAnsi="Times New Roman" w:cs="Times New Roman"/>
          <w:sz w:val="24"/>
          <w:szCs w:val="24"/>
        </w:rPr>
        <w:footnoteReference w:id="2"/>
      </w:r>
      <w:r w:rsidRPr="008953AF">
        <w:rPr>
          <w:rFonts w:ascii="Times New Roman" w:eastAsia="Times New Roman" w:hAnsi="Times New Roman" w:cs="Times New Roman"/>
          <w:sz w:val="24"/>
          <w:szCs w:val="24"/>
        </w:rPr>
        <w:t xml:space="preserve"> as required by 16 TAC § 24.11(e)(4)</w:t>
      </w:r>
      <w:r>
        <w:rPr>
          <w:rFonts w:ascii="Times New Roman" w:eastAsia="Times New Roman" w:hAnsi="Times New Roman" w:cs="Times New Roman"/>
          <w:sz w:val="24"/>
          <w:szCs w:val="24"/>
        </w:rPr>
        <w:t>(B)(iii).</w:t>
      </w:r>
      <w:r w:rsidR="004B42B3" w:rsidRPr="004B42B3">
        <w:rPr>
          <w:rFonts w:ascii="Times New Roman" w:eastAsia="Times New Roman" w:hAnsi="Times New Roman" w:cs="Times New Roman"/>
          <w:sz w:val="24"/>
          <w:szCs w:val="24"/>
        </w:rPr>
        <w:t xml:space="preserve"> </w:t>
      </w:r>
    </w:p>
    <w:p w14:paraId="004D8610" w14:textId="2D9607B3" w:rsidR="002E45AC" w:rsidRDefault="004B42B3" w:rsidP="004B42B3">
      <w:pPr>
        <w:widowControl w:val="0"/>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Gideon Water </w:t>
      </w:r>
      <w:r w:rsidRPr="00E2548D">
        <w:rPr>
          <w:rFonts w:ascii="Times New Roman" w:eastAsia="Times New Roman" w:hAnsi="Times New Roman" w:cs="Times New Roman"/>
          <w:sz w:val="24"/>
          <w:szCs w:val="24"/>
        </w:rPr>
        <w:t xml:space="preserve">filed a Financial Guarantee stating that </w:t>
      </w:r>
      <w:r>
        <w:rPr>
          <w:rFonts w:ascii="Times New Roman" w:eastAsia="Times New Roman" w:hAnsi="Times New Roman" w:cs="Times New Roman"/>
          <w:sz w:val="24"/>
          <w:szCs w:val="24"/>
        </w:rPr>
        <w:t xml:space="preserve">Frey, Inc. </w:t>
      </w:r>
      <w:r w:rsidRPr="00E2548D">
        <w:rPr>
          <w:rFonts w:ascii="Times New Roman" w:eastAsia="Times New Roman" w:hAnsi="Times New Roman" w:cs="Times New Roman"/>
          <w:sz w:val="24"/>
          <w:szCs w:val="24"/>
        </w:rPr>
        <w:t xml:space="preserve">is capable, available, and willing to cover </w:t>
      </w:r>
      <w:r>
        <w:rPr>
          <w:rFonts w:ascii="Times New Roman" w:eastAsia="Times New Roman" w:hAnsi="Times New Roman" w:cs="Times New Roman"/>
          <w:sz w:val="24"/>
          <w:szCs w:val="24"/>
        </w:rPr>
        <w:t>the expected</w:t>
      </w:r>
      <w:r w:rsidRPr="00E2548D">
        <w:rPr>
          <w:rFonts w:ascii="Times New Roman" w:eastAsia="Times New Roman" w:hAnsi="Times New Roman" w:cs="Times New Roman"/>
          <w:sz w:val="24"/>
          <w:szCs w:val="24"/>
        </w:rPr>
        <w:t xml:space="preserve"> temporary cash shortages</w:t>
      </w:r>
      <w:r>
        <w:rPr>
          <w:rFonts w:ascii="Times New Roman" w:eastAsia="Times New Roman" w:hAnsi="Times New Roman" w:cs="Times New Roman"/>
          <w:sz w:val="24"/>
          <w:szCs w:val="24"/>
        </w:rPr>
        <w:t xml:space="preserve"> of Gideon Water</w:t>
      </w:r>
      <w:r w:rsidRPr="00E2548D">
        <w:rPr>
          <w:rFonts w:ascii="Times New Roman" w:eastAsia="Times New Roman" w:hAnsi="Times New Roman" w:cs="Times New Roman"/>
          <w:sz w:val="24"/>
          <w:szCs w:val="24"/>
        </w:rPr>
        <w:t>.</w:t>
      </w:r>
      <w:r>
        <w:rPr>
          <w:rStyle w:val="FootnoteReference"/>
          <w:rFonts w:ascii="Times New Roman" w:eastAsia="Times New Roman" w:hAnsi="Times New Roman" w:cs="Times New Roman"/>
          <w:sz w:val="24"/>
          <w:szCs w:val="24"/>
        </w:rPr>
        <w:footnoteReference w:id="3"/>
      </w:r>
      <w:r>
        <w:rPr>
          <w:rFonts w:ascii="Times New Roman" w:eastAsia="Times New Roman" w:hAnsi="Times New Roman" w:cs="Times New Roman"/>
          <w:sz w:val="24"/>
          <w:szCs w:val="24"/>
        </w:rPr>
        <w:t xml:space="preserve"> </w:t>
      </w:r>
    </w:p>
    <w:p w14:paraId="20B5D911" w14:textId="1C00791C" w:rsidR="00133D92" w:rsidRPr="00044207" w:rsidRDefault="00133D92" w:rsidP="004B42B3">
      <w:pPr>
        <w:widowControl w:val="0"/>
        <w:spacing w:after="0" w:line="360" w:lineRule="auto"/>
        <w:jc w:val="both"/>
        <w:rPr>
          <w:rFonts w:ascii="Times New Roman" w:eastAsia="Times New Roman" w:hAnsi="Times New Roman" w:cs="Times New Roman"/>
          <w:b/>
          <w:bCs/>
          <w:sz w:val="24"/>
          <w:szCs w:val="24"/>
        </w:rPr>
      </w:pPr>
      <w:r w:rsidRPr="00973928">
        <w:rPr>
          <w:rFonts w:ascii="Times New Roman" w:eastAsia="Times New Roman" w:hAnsi="Times New Roman" w:cs="Times New Roman"/>
          <w:sz w:val="24"/>
          <w:szCs w:val="24"/>
        </w:rPr>
        <w:tab/>
        <w:t xml:space="preserve">Based upon my review of </w:t>
      </w:r>
      <w:r w:rsidR="00E2548D" w:rsidRPr="00044207">
        <w:rPr>
          <w:rFonts w:ascii="Times New Roman" w:eastAsia="Times New Roman" w:hAnsi="Times New Roman" w:cs="Times New Roman"/>
          <w:sz w:val="24"/>
          <w:szCs w:val="24"/>
        </w:rPr>
        <w:t xml:space="preserve">the </w:t>
      </w:r>
      <w:r w:rsidRPr="00044207">
        <w:rPr>
          <w:rFonts w:ascii="Times New Roman" w:eastAsia="Times New Roman" w:hAnsi="Times New Roman" w:cs="Times New Roman"/>
          <w:sz w:val="24"/>
          <w:szCs w:val="24"/>
        </w:rPr>
        <w:t>financial statements</w:t>
      </w:r>
      <w:r w:rsidR="00E2548D" w:rsidRPr="00044207">
        <w:rPr>
          <w:rFonts w:ascii="Times New Roman" w:eastAsia="Times New Roman" w:hAnsi="Times New Roman" w:cs="Times New Roman"/>
          <w:sz w:val="24"/>
          <w:szCs w:val="24"/>
        </w:rPr>
        <w:t xml:space="preserve"> of </w:t>
      </w:r>
      <w:r w:rsidR="00A34586">
        <w:rPr>
          <w:rFonts w:ascii="Times New Roman" w:eastAsia="Times New Roman" w:hAnsi="Times New Roman" w:cs="Times New Roman"/>
          <w:sz w:val="24"/>
          <w:szCs w:val="24"/>
        </w:rPr>
        <w:t>Frey</w:t>
      </w:r>
      <w:r w:rsidR="00E2548D" w:rsidRPr="00044207">
        <w:rPr>
          <w:rFonts w:ascii="Times New Roman" w:eastAsia="Times New Roman" w:hAnsi="Times New Roman" w:cs="Times New Roman"/>
          <w:sz w:val="24"/>
          <w:szCs w:val="24"/>
        </w:rPr>
        <w:t>, Inc.</w:t>
      </w:r>
      <w:r w:rsidRPr="00044207">
        <w:rPr>
          <w:rFonts w:ascii="Times New Roman" w:eastAsia="Times New Roman" w:hAnsi="Times New Roman" w:cs="Times New Roman"/>
          <w:sz w:val="24"/>
          <w:szCs w:val="24"/>
        </w:rPr>
        <w:t xml:space="preserve">, I calculate </w:t>
      </w:r>
      <w:r w:rsidR="003D29F6">
        <w:rPr>
          <w:rFonts w:ascii="Times New Roman" w:eastAsia="Times New Roman" w:hAnsi="Times New Roman" w:cs="Times New Roman"/>
          <w:sz w:val="24"/>
          <w:szCs w:val="24"/>
        </w:rPr>
        <w:t xml:space="preserve">a </w:t>
      </w:r>
      <w:r w:rsidRPr="00044207">
        <w:rPr>
          <w:rFonts w:ascii="Times New Roman" w:eastAsia="Times New Roman" w:hAnsi="Times New Roman" w:cs="Times New Roman"/>
          <w:sz w:val="24"/>
          <w:szCs w:val="24"/>
        </w:rPr>
        <w:t xml:space="preserve">debt service </w:t>
      </w:r>
      <w:r w:rsidR="003D29F6">
        <w:rPr>
          <w:rFonts w:ascii="Times New Roman" w:eastAsia="Times New Roman" w:hAnsi="Times New Roman" w:cs="Times New Roman"/>
          <w:sz w:val="24"/>
          <w:szCs w:val="24"/>
        </w:rPr>
        <w:lastRenderedPageBreak/>
        <w:t xml:space="preserve">coverage ratio </w:t>
      </w:r>
      <w:r w:rsidRPr="00044207">
        <w:rPr>
          <w:rFonts w:ascii="Times New Roman" w:eastAsia="Times New Roman" w:hAnsi="Times New Roman" w:cs="Times New Roman"/>
          <w:sz w:val="24"/>
          <w:szCs w:val="24"/>
        </w:rPr>
        <w:t xml:space="preserve">equal to </w:t>
      </w:r>
      <w:r w:rsidR="00315113">
        <w:rPr>
          <w:rFonts w:ascii="Times New Roman" w:eastAsia="Times New Roman" w:hAnsi="Times New Roman" w:cs="Times New Roman"/>
          <w:sz w:val="24"/>
          <w:szCs w:val="24"/>
        </w:rPr>
        <w:t>16.97</w:t>
      </w:r>
      <w:r w:rsidR="00A34586">
        <w:rPr>
          <w:rFonts w:ascii="Times New Roman" w:eastAsia="Times New Roman" w:hAnsi="Times New Roman" w:cs="Times New Roman"/>
          <w:sz w:val="24"/>
          <w:szCs w:val="24"/>
        </w:rPr>
        <w:t>.</w:t>
      </w:r>
      <w:r w:rsidR="00A34586">
        <w:rPr>
          <w:rStyle w:val="FootnoteReference"/>
          <w:rFonts w:ascii="Times New Roman" w:eastAsia="Times New Roman" w:hAnsi="Times New Roman" w:cs="Times New Roman"/>
          <w:sz w:val="24"/>
          <w:szCs w:val="24"/>
        </w:rPr>
        <w:footnoteReference w:id="4"/>
      </w:r>
      <w:r w:rsidRPr="00044207">
        <w:rPr>
          <w:rFonts w:ascii="Times New Roman" w:eastAsia="Times New Roman" w:hAnsi="Times New Roman" w:cs="Times New Roman"/>
          <w:sz w:val="24"/>
          <w:szCs w:val="24"/>
        </w:rPr>
        <w:t xml:space="preserve"> Because the ratio is greater than 1.25, I recommend a finding that </w:t>
      </w:r>
      <w:r w:rsidR="008D31B1">
        <w:rPr>
          <w:rFonts w:ascii="Times New Roman" w:eastAsia="Times New Roman" w:hAnsi="Times New Roman" w:cs="Times New Roman"/>
          <w:sz w:val="24"/>
          <w:szCs w:val="24"/>
        </w:rPr>
        <w:t>Frey</w:t>
      </w:r>
      <w:r w:rsidR="00044207" w:rsidRPr="00044207">
        <w:rPr>
          <w:rFonts w:ascii="Times New Roman" w:eastAsia="Times New Roman" w:hAnsi="Times New Roman" w:cs="Times New Roman"/>
          <w:sz w:val="24"/>
          <w:szCs w:val="24"/>
        </w:rPr>
        <w:t>, Inc.</w:t>
      </w:r>
      <w:r w:rsidR="00E2548D" w:rsidRPr="00044207">
        <w:rPr>
          <w:rFonts w:ascii="Times New Roman" w:eastAsia="Times New Roman" w:hAnsi="Times New Roman" w:cs="Times New Roman"/>
          <w:sz w:val="24"/>
          <w:szCs w:val="24"/>
        </w:rPr>
        <w:t xml:space="preserve"> </w:t>
      </w:r>
      <w:r w:rsidRPr="00044207">
        <w:rPr>
          <w:rFonts w:ascii="Times New Roman" w:eastAsia="Times New Roman" w:hAnsi="Times New Roman" w:cs="Times New Roman"/>
          <w:sz w:val="24"/>
          <w:szCs w:val="24"/>
        </w:rPr>
        <w:t xml:space="preserve">meets the leverage test specified in 16 TAC </w:t>
      </w:r>
      <w:bookmarkStart w:id="4" w:name="_Hlk59192949"/>
      <w:r w:rsidRPr="00044207">
        <w:rPr>
          <w:rFonts w:ascii="Times New Roman" w:eastAsia="Times New Roman" w:hAnsi="Times New Roman" w:cs="Times New Roman"/>
          <w:sz w:val="24"/>
          <w:szCs w:val="24"/>
        </w:rPr>
        <w:t>§ 24.11(e)(2)(</w:t>
      </w:r>
      <w:r w:rsidR="00044207" w:rsidRPr="00044207">
        <w:rPr>
          <w:rFonts w:ascii="Times New Roman" w:eastAsia="Times New Roman" w:hAnsi="Times New Roman" w:cs="Times New Roman"/>
          <w:sz w:val="24"/>
          <w:szCs w:val="24"/>
        </w:rPr>
        <w:t>B</w:t>
      </w:r>
      <w:r w:rsidRPr="00044207">
        <w:rPr>
          <w:rFonts w:ascii="Times New Roman" w:eastAsia="Times New Roman" w:hAnsi="Times New Roman" w:cs="Times New Roman"/>
          <w:sz w:val="24"/>
          <w:szCs w:val="24"/>
        </w:rPr>
        <w:t>).</w:t>
      </w:r>
      <w:bookmarkEnd w:id="4"/>
      <w:r w:rsidR="00044207" w:rsidRPr="00044207">
        <w:rPr>
          <w:rFonts w:ascii="Times New Roman" w:eastAsia="Times New Roman" w:hAnsi="Times New Roman" w:cs="Times New Roman"/>
          <w:sz w:val="24"/>
          <w:szCs w:val="24"/>
        </w:rPr>
        <w:t xml:space="preserve"> Therefore, I recommend a finding that</w:t>
      </w:r>
      <w:r w:rsidR="00ED42AF">
        <w:rPr>
          <w:rFonts w:ascii="Times New Roman" w:eastAsia="Times New Roman" w:hAnsi="Times New Roman" w:cs="Times New Roman"/>
          <w:sz w:val="24"/>
          <w:szCs w:val="24"/>
        </w:rPr>
        <w:t>—t</w:t>
      </w:r>
      <w:r w:rsidR="00044207" w:rsidRPr="00044207">
        <w:rPr>
          <w:rFonts w:ascii="Times New Roman" w:eastAsia="Times New Roman" w:hAnsi="Times New Roman" w:cs="Times New Roman"/>
          <w:sz w:val="24"/>
          <w:szCs w:val="24"/>
        </w:rPr>
        <w:t>hrough its affiliate</w:t>
      </w:r>
      <w:r w:rsidR="00ED42AF">
        <w:rPr>
          <w:rFonts w:ascii="Times New Roman" w:eastAsia="Times New Roman" w:hAnsi="Times New Roman" w:cs="Times New Roman"/>
          <w:sz w:val="24"/>
          <w:szCs w:val="24"/>
        </w:rPr>
        <w:t>—</w:t>
      </w:r>
      <w:r w:rsidR="002932E1">
        <w:rPr>
          <w:rFonts w:ascii="Times New Roman" w:eastAsia="Times New Roman" w:hAnsi="Times New Roman" w:cs="Times New Roman"/>
          <w:sz w:val="24"/>
          <w:szCs w:val="24"/>
        </w:rPr>
        <w:t>Gideon Water</w:t>
      </w:r>
      <w:r w:rsidR="00044207" w:rsidRPr="00044207">
        <w:rPr>
          <w:rFonts w:ascii="Times New Roman" w:eastAsia="Times New Roman" w:hAnsi="Times New Roman" w:cs="Times New Roman"/>
          <w:sz w:val="24"/>
          <w:szCs w:val="24"/>
        </w:rPr>
        <w:t xml:space="preserve"> meets the leverage test as specified</w:t>
      </w:r>
      <w:r w:rsidR="00044207">
        <w:rPr>
          <w:rFonts w:ascii="Times New Roman" w:eastAsia="Times New Roman" w:hAnsi="Times New Roman" w:cs="Times New Roman"/>
          <w:sz w:val="24"/>
          <w:szCs w:val="24"/>
        </w:rPr>
        <w:t xml:space="preserve"> in </w:t>
      </w:r>
      <w:r w:rsidR="00044207" w:rsidRPr="00044207">
        <w:rPr>
          <w:rFonts w:ascii="Times New Roman" w:eastAsia="Times New Roman" w:hAnsi="Times New Roman" w:cs="Times New Roman"/>
          <w:sz w:val="24"/>
          <w:szCs w:val="24"/>
        </w:rPr>
        <w:t>16 TAC § 24.11(e)(2)(</w:t>
      </w:r>
      <w:r w:rsidR="00044207">
        <w:rPr>
          <w:rFonts w:ascii="Times New Roman" w:eastAsia="Times New Roman" w:hAnsi="Times New Roman" w:cs="Times New Roman"/>
          <w:sz w:val="24"/>
          <w:szCs w:val="24"/>
        </w:rPr>
        <w:t>E</w:t>
      </w:r>
      <w:r w:rsidR="00044207" w:rsidRPr="00044207">
        <w:rPr>
          <w:rFonts w:ascii="Times New Roman" w:eastAsia="Times New Roman" w:hAnsi="Times New Roman" w:cs="Times New Roman"/>
          <w:sz w:val="24"/>
          <w:szCs w:val="24"/>
        </w:rPr>
        <w:t>)</w:t>
      </w:r>
      <w:r w:rsidR="00ED42AF">
        <w:rPr>
          <w:rFonts w:ascii="Times New Roman" w:eastAsia="Times New Roman" w:hAnsi="Times New Roman" w:cs="Times New Roman"/>
          <w:sz w:val="24"/>
          <w:szCs w:val="24"/>
        </w:rPr>
        <w:t>.</w:t>
      </w:r>
    </w:p>
    <w:p w14:paraId="62695412" w14:textId="3F4B02E2" w:rsidR="00376E5F" w:rsidRPr="001C59A0" w:rsidRDefault="00376E5F" w:rsidP="004B42B3">
      <w:pPr>
        <w:widowControl w:val="0"/>
        <w:spacing w:after="0" w:line="360" w:lineRule="auto"/>
        <w:jc w:val="both"/>
        <w:rPr>
          <w:rFonts w:ascii="Times New Roman" w:eastAsia="Times New Roman" w:hAnsi="Times New Roman" w:cs="Times New Roman"/>
          <w:b/>
          <w:bCs/>
          <w:sz w:val="24"/>
          <w:szCs w:val="24"/>
        </w:rPr>
      </w:pPr>
      <w:r w:rsidRPr="001C59A0">
        <w:rPr>
          <w:rFonts w:ascii="Times New Roman" w:eastAsia="Times New Roman" w:hAnsi="Times New Roman" w:cs="Times New Roman"/>
          <w:b/>
          <w:bCs/>
          <w:i/>
          <w:iCs/>
          <w:sz w:val="24"/>
          <w:szCs w:val="24"/>
        </w:rPr>
        <w:t>Operations Test</w:t>
      </w:r>
    </w:p>
    <w:p w14:paraId="7405BA72" w14:textId="77777777" w:rsidR="005F4228" w:rsidRPr="0072597A" w:rsidRDefault="00133D92" w:rsidP="005F4228">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5F4228"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005F4228" w:rsidRPr="00204D19">
        <w:rPr>
          <w:rFonts w:ascii="Times New Roman" w:eastAsia="Times New Roman" w:hAnsi="Times New Roman" w:cs="Times New Roman"/>
          <w:sz w:val="24"/>
          <w:szCs w:val="24"/>
        </w:rPr>
        <w:t>expense during the first five years of operations</w:t>
      </w:r>
      <w:r w:rsidR="005F4228">
        <w:rPr>
          <w:rFonts w:ascii="Times New Roman" w:eastAsia="Times New Roman" w:hAnsi="Times New Roman" w:cs="Times New Roman"/>
          <w:sz w:val="24"/>
          <w:szCs w:val="24"/>
        </w:rPr>
        <w:t>; or a</w:t>
      </w:r>
      <w:r w:rsidR="005F4228" w:rsidRPr="003D0026">
        <w:rPr>
          <w:rFonts w:ascii="Times New Roman" w:eastAsia="Times New Roman" w:hAnsi="Times New Roman" w:cs="Times New Roman"/>
          <w:sz w:val="24"/>
          <w:szCs w:val="24"/>
        </w:rPr>
        <w:t xml:space="preserve">n </w:t>
      </w:r>
      <w:r w:rsidR="005F4228">
        <w:rPr>
          <w:rFonts w:ascii="Times New Roman" w:eastAsia="Times New Roman" w:hAnsi="Times New Roman" w:cs="Times New Roman"/>
          <w:sz w:val="24"/>
          <w:szCs w:val="24"/>
        </w:rPr>
        <w:t xml:space="preserve">affiliated interest may provide a written guaranty of coverage of temporary cash shortages if the </w:t>
      </w:r>
      <w:r w:rsidR="005F4228" w:rsidRPr="0072597A">
        <w:rPr>
          <w:rFonts w:ascii="Times New Roman" w:eastAsia="Times New Roman" w:hAnsi="Times New Roman" w:cs="Times New Roman"/>
          <w:sz w:val="24"/>
          <w:szCs w:val="24"/>
        </w:rPr>
        <w:t>affiliated interest also satisfies the leverage test, as required by 16 TAC § 24.11(e)(3).</w:t>
      </w:r>
    </w:p>
    <w:p w14:paraId="1ACE9F01" w14:textId="55BE07AB" w:rsidR="005F4228" w:rsidRPr="0072597A" w:rsidRDefault="005F4228" w:rsidP="005F4228">
      <w:pPr>
        <w:spacing w:after="120" w:line="360" w:lineRule="auto"/>
        <w:jc w:val="both"/>
        <w:rPr>
          <w:rFonts w:ascii="Times New Roman" w:eastAsia="Times New Roman" w:hAnsi="Times New Roman" w:cs="Times New Roman"/>
          <w:sz w:val="24"/>
          <w:szCs w:val="24"/>
        </w:rPr>
      </w:pPr>
      <w:r w:rsidRPr="0072597A">
        <w:rPr>
          <w:rFonts w:ascii="Times New Roman" w:eastAsia="Times New Roman" w:hAnsi="Times New Roman" w:cs="Times New Roman"/>
          <w:sz w:val="24"/>
          <w:szCs w:val="24"/>
        </w:rPr>
        <w:tab/>
        <w:t xml:space="preserve">The affidavit provided by </w:t>
      </w:r>
      <w:proofErr w:type="gramStart"/>
      <w:r>
        <w:rPr>
          <w:rFonts w:ascii="Times New Roman" w:eastAsia="Times New Roman" w:hAnsi="Times New Roman" w:cs="Times New Roman"/>
          <w:sz w:val="24"/>
          <w:szCs w:val="24"/>
        </w:rPr>
        <w:t>Frey,</w:t>
      </w:r>
      <w:proofErr w:type="gramEnd"/>
      <w:r>
        <w:rPr>
          <w:rFonts w:ascii="Times New Roman" w:eastAsia="Times New Roman" w:hAnsi="Times New Roman" w:cs="Times New Roman"/>
          <w:sz w:val="24"/>
          <w:szCs w:val="24"/>
        </w:rPr>
        <w:t xml:space="preserve"> Inc.</w:t>
      </w:r>
      <w:r w:rsidRPr="0072597A">
        <w:rPr>
          <w:rFonts w:ascii="Times New Roman" w:eastAsia="Times New Roman" w:hAnsi="Times New Roman" w:cs="Times New Roman"/>
          <w:sz w:val="24"/>
          <w:szCs w:val="24"/>
        </w:rPr>
        <w:t xml:space="preserve"> demonstrates a written guarantee of coverage of temporary cash shortages from an affiliated </w:t>
      </w:r>
      <w:r w:rsidRPr="002F15C8">
        <w:rPr>
          <w:rFonts w:ascii="Times New Roman" w:eastAsia="Times New Roman" w:hAnsi="Times New Roman" w:cs="Times New Roman"/>
          <w:sz w:val="24"/>
          <w:szCs w:val="24"/>
        </w:rPr>
        <w:t>interest. Gideon Water’s financial projections show that there are projected operations shortages</w:t>
      </w:r>
      <w:r w:rsidR="00315113" w:rsidRPr="002F15C8">
        <w:rPr>
          <w:rFonts w:ascii="Times New Roman" w:eastAsia="Times New Roman" w:hAnsi="Times New Roman" w:cs="Times New Roman"/>
          <w:sz w:val="24"/>
          <w:szCs w:val="24"/>
        </w:rPr>
        <w:t xml:space="preserve"> in the first year of operating, however these shortages amount to </w:t>
      </w:r>
      <w:r w:rsidR="002F15C8" w:rsidRPr="002F15C8">
        <w:rPr>
          <w:rFonts w:ascii="Times New Roman" w:eastAsia="Times New Roman" w:hAnsi="Times New Roman" w:cs="Times New Roman"/>
          <w:sz w:val="24"/>
          <w:szCs w:val="24"/>
        </w:rPr>
        <w:t>less than 3% of Frey’s available cash</w:t>
      </w:r>
      <w:r w:rsidRPr="002F15C8">
        <w:rPr>
          <w:rFonts w:ascii="Times New Roman" w:eastAsia="Times New Roman" w:hAnsi="Times New Roman" w:cs="Times New Roman"/>
          <w:sz w:val="24"/>
          <w:szCs w:val="24"/>
        </w:rPr>
        <w:t>.</w:t>
      </w:r>
      <w:r w:rsidRPr="002F15C8">
        <w:rPr>
          <w:rStyle w:val="FootnoteReference"/>
          <w:rFonts w:ascii="Times New Roman" w:eastAsia="Times New Roman" w:hAnsi="Times New Roman" w:cs="Times New Roman"/>
          <w:sz w:val="24"/>
          <w:szCs w:val="24"/>
        </w:rPr>
        <w:footnoteReference w:id="5"/>
      </w:r>
      <w:r w:rsidRPr="002F15C8">
        <w:rPr>
          <w:rFonts w:ascii="Times New Roman" w:eastAsia="Times New Roman" w:hAnsi="Times New Roman" w:cs="Times New Roman"/>
          <w:sz w:val="24"/>
          <w:szCs w:val="24"/>
        </w:rPr>
        <w:t xml:space="preserve"> Therefore</w:t>
      </w:r>
      <w:r w:rsidRPr="0072597A">
        <w:rPr>
          <w:rFonts w:ascii="Times New Roman" w:eastAsia="Times New Roman" w:hAnsi="Times New Roman" w:cs="Times New Roman"/>
          <w:sz w:val="24"/>
          <w:szCs w:val="24"/>
        </w:rPr>
        <w:t xml:space="preserve">, I recommend a finding that </w:t>
      </w:r>
      <w:r>
        <w:rPr>
          <w:rFonts w:ascii="Times New Roman" w:eastAsia="Times New Roman" w:hAnsi="Times New Roman" w:cs="Times New Roman"/>
          <w:sz w:val="24"/>
          <w:szCs w:val="24"/>
        </w:rPr>
        <w:t>Gideon Water</w:t>
      </w:r>
      <w:r w:rsidRPr="0072597A">
        <w:rPr>
          <w:rFonts w:ascii="Times New Roman" w:eastAsia="Times New Roman" w:hAnsi="Times New Roman" w:cs="Times New Roman"/>
          <w:sz w:val="24"/>
          <w:szCs w:val="24"/>
        </w:rPr>
        <w:t xml:space="preserve"> meets the operations test specified in 16 TAC § 24.11(e)(3).</w:t>
      </w:r>
    </w:p>
    <w:p w14:paraId="49CC2ACA" w14:textId="77777777" w:rsidR="009B455C" w:rsidRDefault="009B455C" w:rsidP="009B455C">
      <w:pPr>
        <w:widowControl w:val="0"/>
        <w:spacing w:after="120"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Capital Improvement Plan</w:t>
      </w:r>
    </w:p>
    <w:p w14:paraId="38925CBA" w14:textId="77777777" w:rsidR="009B455C" w:rsidRPr="002218F7" w:rsidRDefault="009B455C" w:rsidP="009B455C">
      <w:pPr>
        <w:widowControl w:val="0"/>
        <w:spacing w:after="120" w:line="360" w:lineRule="auto"/>
        <w:jc w:val="both"/>
        <w:rPr>
          <w:rFonts w:ascii="Times New Roman" w:eastAsia="Times New Roman" w:hAnsi="Times New Roman" w:cs="Times New Roman"/>
          <w:sz w:val="24"/>
          <w:szCs w:val="24"/>
        </w:rPr>
      </w:pPr>
      <w:r w:rsidRPr="002218F7">
        <w:rPr>
          <w:rFonts w:ascii="Times New Roman" w:eastAsia="Times New Roman" w:hAnsi="Times New Roman" w:cs="Times New Roman"/>
          <w:sz w:val="24"/>
          <w:szCs w:val="24"/>
        </w:rPr>
        <w:tab/>
        <w:t xml:space="preserve">An applicant proposing service to a new CCN area must provide documentation of adequate funding for the purchase of an existing system plus any improvements necessary to provide continuous and adequate service to the existing customers per 16 TAC § </w:t>
      </w:r>
      <w:r w:rsidRPr="00BB6310">
        <w:rPr>
          <w:rFonts w:ascii="Times New Roman" w:eastAsia="Times New Roman" w:hAnsi="Times New Roman" w:cs="Times New Roman"/>
          <w:sz w:val="24"/>
          <w:szCs w:val="24"/>
        </w:rPr>
        <w:t>24.11(e)(5)(B).</w:t>
      </w:r>
    </w:p>
    <w:p w14:paraId="61FC2123" w14:textId="0908766C" w:rsidR="009B455C" w:rsidRPr="009B2488" w:rsidRDefault="009B455C" w:rsidP="009B455C">
      <w:pPr>
        <w:widowControl w:val="0"/>
        <w:spacing w:after="120" w:line="360" w:lineRule="auto"/>
        <w:jc w:val="both"/>
        <w:rPr>
          <w:rFonts w:ascii="Times New Roman" w:eastAsia="Times New Roman" w:hAnsi="Times New Roman" w:cs="Times New Roman"/>
          <w:sz w:val="24"/>
          <w:szCs w:val="24"/>
          <w:highlight w:val="yellow"/>
        </w:rPr>
      </w:pPr>
      <w:r w:rsidRPr="002218F7">
        <w:rPr>
          <w:rFonts w:ascii="Times New Roman" w:eastAsia="Times New Roman" w:hAnsi="Times New Roman" w:cs="Times New Roman"/>
          <w:sz w:val="24"/>
          <w:szCs w:val="24"/>
        </w:rPr>
        <w:tab/>
      </w:r>
      <w:r w:rsidRPr="00180FE2">
        <w:rPr>
          <w:rFonts w:ascii="Times New Roman" w:eastAsia="Times New Roman" w:hAnsi="Times New Roman" w:cs="Times New Roman"/>
          <w:sz w:val="24"/>
          <w:szCs w:val="24"/>
        </w:rPr>
        <w:t>The applicant has filed documentation demonstrating adequate</w:t>
      </w:r>
      <w:r w:rsidR="009C13B1">
        <w:rPr>
          <w:rFonts w:ascii="Times New Roman" w:eastAsia="Times New Roman" w:hAnsi="Times New Roman" w:cs="Times New Roman"/>
          <w:sz w:val="24"/>
          <w:szCs w:val="24"/>
        </w:rPr>
        <w:t xml:space="preserve"> cash</w:t>
      </w:r>
      <w:r w:rsidRPr="00180FE2">
        <w:rPr>
          <w:rFonts w:ascii="Times New Roman" w:eastAsia="Times New Roman" w:hAnsi="Times New Roman" w:cs="Times New Roman"/>
          <w:sz w:val="24"/>
          <w:szCs w:val="24"/>
        </w:rPr>
        <w:t xml:space="preserve"> funding of the planned</w:t>
      </w:r>
      <w:r w:rsidR="000778D1">
        <w:rPr>
          <w:rFonts w:ascii="Times New Roman" w:eastAsia="Times New Roman" w:hAnsi="Times New Roman" w:cs="Times New Roman"/>
          <w:sz w:val="24"/>
          <w:szCs w:val="24"/>
        </w:rPr>
        <w:t xml:space="preserve"> capital expenditures </w:t>
      </w:r>
      <w:r w:rsidRPr="00180FE2">
        <w:rPr>
          <w:rFonts w:ascii="Times New Roman" w:eastAsia="Times New Roman" w:hAnsi="Times New Roman" w:cs="Times New Roman"/>
          <w:sz w:val="24"/>
          <w:szCs w:val="24"/>
        </w:rPr>
        <w:t xml:space="preserve">for </w:t>
      </w:r>
      <w:r w:rsidR="001A0C6A">
        <w:rPr>
          <w:rFonts w:ascii="Times New Roman" w:eastAsia="Times New Roman" w:hAnsi="Times New Roman" w:cs="Times New Roman"/>
          <w:sz w:val="24"/>
          <w:szCs w:val="24"/>
        </w:rPr>
        <w:t>t</w:t>
      </w:r>
      <w:r w:rsidR="00CA7256">
        <w:rPr>
          <w:rFonts w:ascii="Times New Roman" w:eastAsia="Times New Roman" w:hAnsi="Times New Roman" w:cs="Times New Roman"/>
          <w:sz w:val="24"/>
          <w:szCs w:val="24"/>
        </w:rPr>
        <w:t>he Preserve</w:t>
      </w:r>
      <w:r w:rsidRPr="00180FE2">
        <w:rPr>
          <w:rFonts w:ascii="Times New Roman" w:eastAsia="Times New Roman" w:hAnsi="Times New Roman" w:cs="Times New Roman"/>
          <w:sz w:val="24"/>
          <w:szCs w:val="24"/>
        </w:rPr>
        <w:t xml:space="preserve"> water system.</w:t>
      </w:r>
      <w:r w:rsidRPr="00180FE2">
        <w:rPr>
          <w:rStyle w:val="FootnoteReference"/>
          <w:rFonts w:ascii="Times New Roman" w:eastAsia="Times New Roman" w:hAnsi="Times New Roman" w:cs="Times New Roman"/>
          <w:sz w:val="24"/>
          <w:szCs w:val="24"/>
        </w:rPr>
        <w:footnoteReference w:id="6"/>
      </w:r>
      <w:r w:rsidRPr="00180FE2">
        <w:rPr>
          <w:rFonts w:ascii="Times New Roman" w:eastAsia="Times New Roman" w:hAnsi="Times New Roman" w:cs="Times New Roman"/>
          <w:sz w:val="24"/>
          <w:szCs w:val="24"/>
        </w:rPr>
        <w:t xml:space="preserve"> Therefore, I recommend a finding that </w:t>
      </w:r>
      <w:r w:rsidR="00E13416">
        <w:rPr>
          <w:rFonts w:ascii="Times New Roman" w:eastAsia="Times New Roman" w:hAnsi="Times New Roman" w:cs="Times New Roman"/>
          <w:sz w:val="24"/>
          <w:szCs w:val="24"/>
        </w:rPr>
        <w:t>Gideon Water</w:t>
      </w:r>
      <w:r w:rsidRPr="00180FE2">
        <w:rPr>
          <w:rFonts w:ascii="Times New Roman" w:eastAsia="Times New Roman" w:hAnsi="Times New Roman" w:cs="Times New Roman"/>
          <w:sz w:val="24"/>
          <w:szCs w:val="24"/>
        </w:rPr>
        <w:t xml:space="preserve"> satisfies the requirements of 16 TAC § 24.11(e)(5)(B).</w:t>
      </w:r>
    </w:p>
    <w:p w14:paraId="1640854D" w14:textId="03B698F2" w:rsidR="00376E5F" w:rsidRPr="001C59A0" w:rsidRDefault="00376E5F" w:rsidP="005F4228">
      <w:pPr>
        <w:widowControl w:val="0"/>
        <w:spacing w:after="0" w:line="360" w:lineRule="auto"/>
        <w:jc w:val="both"/>
        <w:rPr>
          <w:rFonts w:ascii="Times New Roman" w:eastAsia="Times New Roman" w:hAnsi="Times New Roman" w:cs="Times New Roman"/>
          <w:b/>
          <w:bCs/>
          <w:i/>
          <w:iCs/>
          <w:sz w:val="24"/>
          <w:szCs w:val="24"/>
        </w:rPr>
      </w:pPr>
      <w:r w:rsidRPr="001C59A0">
        <w:rPr>
          <w:rFonts w:ascii="Times New Roman" w:eastAsia="Times New Roman" w:hAnsi="Times New Roman" w:cs="Times New Roman"/>
          <w:b/>
          <w:bCs/>
          <w:i/>
          <w:iCs/>
          <w:sz w:val="24"/>
          <w:szCs w:val="24"/>
        </w:rPr>
        <w:t>Recommendation</w:t>
      </w:r>
    </w:p>
    <w:p w14:paraId="5CAD1645" w14:textId="09BA90FB" w:rsidR="00376E5F" w:rsidRPr="004037C0" w:rsidRDefault="00376E5F" w:rsidP="004B42B3">
      <w:pPr>
        <w:widowControl w:val="0"/>
        <w:spacing w:after="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2932E1">
        <w:rPr>
          <w:rFonts w:ascii="Times New Roman" w:eastAsia="Times New Roman" w:hAnsi="Times New Roman" w:cs="Times New Roman"/>
          <w:sz w:val="24"/>
          <w:szCs w:val="24"/>
        </w:rPr>
        <w:t>Gideon Water</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0636530C" w:rsidR="00372923" w:rsidRPr="00372923" w:rsidRDefault="00133D92" w:rsidP="004B42B3">
      <w:pPr>
        <w:widowControl w:val="0"/>
        <w:spacing w:after="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2932E1">
        <w:rPr>
          <w:rFonts w:ascii="Times New Roman" w:hAnsi="Times New Roman" w:cs="Times New Roman"/>
          <w:sz w:val="24"/>
          <w:szCs w:val="24"/>
        </w:rPr>
        <w:t>Gideon Water</w:t>
      </w:r>
      <w:r w:rsidR="00372923" w:rsidRPr="004037C0">
        <w:rPr>
          <w:rFonts w:ascii="Times New Roman" w:hAnsi="Times New Roman" w:cs="Times New Roman"/>
          <w:sz w:val="24"/>
          <w:szCs w:val="24"/>
        </w:rPr>
        <w:t xml:space="preserve"> demonstrates the financial and managerial capability needed to provide </w:t>
      </w:r>
      <w:r w:rsidR="00372923" w:rsidRPr="00372923">
        <w:rPr>
          <w:rFonts w:ascii="Times New Roman" w:hAnsi="Times New Roman" w:cs="Times New Roman"/>
          <w:sz w:val="24"/>
          <w:szCs w:val="24"/>
        </w:rPr>
        <w:t xml:space="preserve">adequate service to the area subject to this application.  </w:t>
      </w:r>
      <w:r w:rsidR="00372923" w:rsidRPr="00372923">
        <w:rPr>
          <w:rFonts w:ascii="Times New Roman" w:hAnsi="Times New Roman" w:cs="Times New Roman"/>
          <w:sz w:val="24"/>
          <w:szCs w:val="24"/>
        </w:rPr>
        <w:lastRenderedPageBreak/>
        <w:t xml:space="preserve">My conclusions are based on information provided by </w:t>
      </w:r>
      <w:r w:rsidR="002932E1">
        <w:rPr>
          <w:rFonts w:ascii="Times New Roman" w:hAnsi="Times New Roman" w:cs="Times New Roman"/>
          <w:sz w:val="24"/>
          <w:szCs w:val="24"/>
        </w:rPr>
        <w:t>Gideon Water</w:t>
      </w:r>
      <w:r w:rsidR="00372923" w:rsidRPr="00372923">
        <w:rPr>
          <w:rFonts w:ascii="Times New Roman" w:hAnsi="Times New Roman" w:cs="Times New Roman"/>
          <w:sz w:val="24"/>
          <w:szCs w:val="24"/>
        </w:rPr>
        <w:t xml:space="preserve"> before the date of this memorandum and may not reflect any changes in </w:t>
      </w:r>
      <w:r w:rsidR="002932E1">
        <w:rPr>
          <w:rFonts w:ascii="Times New Roman" w:hAnsi="Times New Roman" w:cs="Times New Roman"/>
          <w:sz w:val="24"/>
          <w:szCs w:val="24"/>
        </w:rPr>
        <w:t>Gideon Water</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4B42B3">
      <w:pPr>
        <w:widowControl w:val="0"/>
        <w:spacing w:after="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07E17" w14:textId="77777777" w:rsidR="00862907" w:rsidRDefault="00862907" w:rsidP="003E3FA5">
      <w:pPr>
        <w:spacing w:after="0" w:line="240" w:lineRule="auto"/>
      </w:pPr>
      <w:r>
        <w:separator/>
      </w:r>
    </w:p>
  </w:endnote>
  <w:endnote w:type="continuationSeparator" w:id="0">
    <w:p w14:paraId="7F7C1F27" w14:textId="77777777" w:rsidR="00862907" w:rsidRDefault="00862907"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0000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000000">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DEFFB" w14:textId="77777777" w:rsidR="00862907" w:rsidRDefault="00862907" w:rsidP="003E3FA5">
      <w:pPr>
        <w:spacing w:after="0" w:line="240" w:lineRule="auto"/>
      </w:pPr>
      <w:r>
        <w:separator/>
      </w:r>
    </w:p>
  </w:footnote>
  <w:footnote w:type="continuationSeparator" w:id="0">
    <w:p w14:paraId="07602E08" w14:textId="77777777" w:rsidR="00862907" w:rsidRDefault="00862907" w:rsidP="003E3FA5">
      <w:pPr>
        <w:spacing w:after="0" w:line="240" w:lineRule="auto"/>
      </w:pPr>
      <w:r>
        <w:continuationSeparator/>
      </w:r>
    </w:p>
  </w:footnote>
  <w:footnote w:id="1">
    <w:p w14:paraId="7FBF3C27" w14:textId="3C041870" w:rsidR="003D29F6" w:rsidRDefault="003D29F6" w:rsidP="003D29F6">
      <w:pPr>
        <w:pStyle w:val="FootnoteText"/>
        <w:spacing w:after="120"/>
        <w:ind w:firstLine="720"/>
      </w:pPr>
      <w:r>
        <w:rPr>
          <w:rStyle w:val="FootnoteReference"/>
        </w:rPr>
        <w:footnoteRef/>
      </w:r>
      <w:r>
        <w:t xml:space="preserve">  Application, at 53 (Apr. 12, 2022).</w:t>
      </w:r>
    </w:p>
  </w:footnote>
  <w:footnote w:id="2">
    <w:p w14:paraId="7667B0AE" w14:textId="308ADF93" w:rsidR="002E45AC" w:rsidRPr="004B42B3" w:rsidRDefault="002E45AC" w:rsidP="004B42B3">
      <w:pPr>
        <w:pStyle w:val="FootnoteText"/>
        <w:spacing w:after="120"/>
        <w:ind w:firstLine="720"/>
        <w:jc w:val="both"/>
      </w:pPr>
      <w:r>
        <w:rPr>
          <w:rStyle w:val="FootnoteReference"/>
        </w:rPr>
        <w:footnoteRef/>
      </w:r>
      <w:r>
        <w:t xml:space="preserve"> </w:t>
      </w:r>
      <w:r w:rsidR="004B42B3">
        <w:t xml:space="preserve"> Application, </w:t>
      </w:r>
      <w:r w:rsidR="004B42B3">
        <w:rPr>
          <w:i/>
          <w:iCs/>
        </w:rPr>
        <w:t>Confidential Affidavit of Financial Ability and Financial Information</w:t>
      </w:r>
      <w:r w:rsidR="004B42B3">
        <w:t>, item no. 2, at bates 2</w:t>
      </w:r>
      <w:r w:rsidR="00A34586">
        <w:t>-</w:t>
      </w:r>
      <w:r w:rsidR="004B42B3">
        <w:t>12  (Apr. 13, 2022).</w:t>
      </w:r>
    </w:p>
  </w:footnote>
  <w:footnote w:id="3">
    <w:p w14:paraId="66002444" w14:textId="6F89B4A8" w:rsidR="004B42B3" w:rsidRPr="00BB5D96" w:rsidRDefault="004B42B3" w:rsidP="004B42B3">
      <w:pPr>
        <w:pStyle w:val="FootnoteText"/>
        <w:spacing w:after="120"/>
        <w:ind w:firstLine="720"/>
        <w:jc w:val="both"/>
      </w:pPr>
      <w:r>
        <w:rPr>
          <w:rStyle w:val="FootnoteReference"/>
        </w:rPr>
        <w:footnoteRef/>
      </w:r>
      <w:r>
        <w:t xml:space="preserve">  </w:t>
      </w:r>
      <w:r w:rsidR="00BB5D96">
        <w:t xml:space="preserve">Application, </w:t>
      </w:r>
      <w:r w:rsidR="00BB5D96">
        <w:rPr>
          <w:i/>
          <w:iCs/>
        </w:rPr>
        <w:t>Updated Financial Guarantee Affidavit</w:t>
      </w:r>
      <w:r w:rsidR="00BB5D96">
        <w:t>, item no. 29</w:t>
      </w:r>
      <w:r w:rsidR="00537434">
        <w:t xml:space="preserve"> (Mar. 9, 2023).</w:t>
      </w:r>
    </w:p>
  </w:footnote>
  <w:footnote w:id="4">
    <w:p w14:paraId="297C14D9" w14:textId="2703E610" w:rsidR="00A34586" w:rsidRDefault="00A34586" w:rsidP="00315113">
      <w:pPr>
        <w:pStyle w:val="FootnoteText"/>
        <w:spacing w:after="120"/>
        <w:ind w:firstLine="720"/>
      </w:pPr>
      <w:r>
        <w:rPr>
          <w:rStyle w:val="FootnoteReference"/>
        </w:rPr>
        <w:footnoteRef/>
      </w:r>
      <w:r>
        <w:t xml:space="preserve">  The calculations for which can be found in confidential Attachment EB-1.</w:t>
      </w:r>
    </w:p>
  </w:footnote>
  <w:footnote w:id="5">
    <w:p w14:paraId="0F163C81" w14:textId="7AB7C67E" w:rsidR="005F4228" w:rsidRPr="008F6E41" w:rsidRDefault="005F4228" w:rsidP="00315113">
      <w:pPr>
        <w:pStyle w:val="FootnoteText"/>
        <w:spacing w:after="120"/>
        <w:ind w:firstLine="720"/>
      </w:pPr>
      <w:r w:rsidRPr="008C275C">
        <w:rPr>
          <w:rStyle w:val="FootnoteReference"/>
        </w:rPr>
        <w:footnoteRef/>
      </w:r>
      <w:r w:rsidR="002F15C8">
        <w:t xml:space="preserve">  The calculations for which can be found in confidential Attachment EB-1. </w:t>
      </w:r>
    </w:p>
  </w:footnote>
  <w:footnote w:id="6">
    <w:p w14:paraId="20902631" w14:textId="77777777" w:rsidR="009B455C" w:rsidRPr="00FB23E6" w:rsidRDefault="009B455C" w:rsidP="009B455C">
      <w:pPr>
        <w:pStyle w:val="FootnoteText"/>
        <w:spacing w:after="120"/>
        <w:ind w:firstLine="720"/>
        <w:jc w:val="both"/>
      </w:pPr>
      <w:r w:rsidRPr="00E80D40">
        <w:rPr>
          <w:rStyle w:val="FootnoteReference"/>
        </w:rPr>
        <w:footnoteRef/>
      </w:r>
      <w:r w:rsidRPr="00E80D40">
        <w:t xml:space="preserve">  The calculations for which can be found in confidential Attachment EB-1.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724CE83F" w:rsidR="00195A79" w:rsidRPr="002E015F" w:rsidRDefault="00363697" w:rsidP="0099083B">
    <w:pPr>
      <w:pStyle w:val="Header"/>
      <w:spacing w:after="240"/>
      <w:jc w:val="right"/>
      <w:rPr>
        <w:b/>
      </w:rPr>
    </w:pPr>
    <w:r w:rsidRPr="002E015F">
      <w:rPr>
        <w:b/>
      </w:rPr>
      <w:t xml:space="preserve">Docket No. </w:t>
    </w:r>
    <w:r w:rsidR="008D31B1">
      <w:rPr>
        <w:b/>
      </w:rPr>
      <w:t>53485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44207"/>
    <w:rsid w:val="000778D1"/>
    <w:rsid w:val="000C0DBB"/>
    <w:rsid w:val="001102DB"/>
    <w:rsid w:val="00111798"/>
    <w:rsid w:val="0013261C"/>
    <w:rsid w:val="00133D92"/>
    <w:rsid w:val="00147CE5"/>
    <w:rsid w:val="001A0C6A"/>
    <w:rsid w:val="001C59A0"/>
    <w:rsid w:val="002149AE"/>
    <w:rsid w:val="00256BA8"/>
    <w:rsid w:val="00284379"/>
    <w:rsid w:val="002932E1"/>
    <w:rsid w:val="002A05D8"/>
    <w:rsid w:val="002B55D4"/>
    <w:rsid w:val="002E45AC"/>
    <w:rsid w:val="002F15C8"/>
    <w:rsid w:val="00315113"/>
    <w:rsid w:val="00363697"/>
    <w:rsid w:val="00372923"/>
    <w:rsid w:val="00376E5F"/>
    <w:rsid w:val="003829B2"/>
    <w:rsid w:val="00384A9D"/>
    <w:rsid w:val="003C1F2C"/>
    <w:rsid w:val="003D29F6"/>
    <w:rsid w:val="003E3FA5"/>
    <w:rsid w:val="004037C0"/>
    <w:rsid w:val="004412BD"/>
    <w:rsid w:val="004B42B3"/>
    <w:rsid w:val="00500055"/>
    <w:rsid w:val="00512787"/>
    <w:rsid w:val="00531AAD"/>
    <w:rsid w:val="00537434"/>
    <w:rsid w:val="005C50C8"/>
    <w:rsid w:val="005E707D"/>
    <w:rsid w:val="005F4228"/>
    <w:rsid w:val="0063274E"/>
    <w:rsid w:val="00635BC4"/>
    <w:rsid w:val="00636D72"/>
    <w:rsid w:val="00660C9F"/>
    <w:rsid w:val="006F5466"/>
    <w:rsid w:val="007700A2"/>
    <w:rsid w:val="007D0A6F"/>
    <w:rsid w:val="00862907"/>
    <w:rsid w:val="00891293"/>
    <w:rsid w:val="008D2981"/>
    <w:rsid w:val="008D31B1"/>
    <w:rsid w:val="008D49AB"/>
    <w:rsid w:val="008F16DE"/>
    <w:rsid w:val="0094712D"/>
    <w:rsid w:val="00961A50"/>
    <w:rsid w:val="00973928"/>
    <w:rsid w:val="009B455C"/>
    <w:rsid w:val="009C13B1"/>
    <w:rsid w:val="00A34586"/>
    <w:rsid w:val="00A606BD"/>
    <w:rsid w:val="00AE4987"/>
    <w:rsid w:val="00B40581"/>
    <w:rsid w:val="00B52332"/>
    <w:rsid w:val="00BA5465"/>
    <w:rsid w:val="00BB5D96"/>
    <w:rsid w:val="00BE7D58"/>
    <w:rsid w:val="00C0242A"/>
    <w:rsid w:val="00C44A6E"/>
    <w:rsid w:val="00C74679"/>
    <w:rsid w:val="00CA7256"/>
    <w:rsid w:val="00CC2891"/>
    <w:rsid w:val="00D52DC0"/>
    <w:rsid w:val="00D7356D"/>
    <w:rsid w:val="00D73FFD"/>
    <w:rsid w:val="00D9105A"/>
    <w:rsid w:val="00DF3875"/>
    <w:rsid w:val="00E13416"/>
    <w:rsid w:val="00E2548D"/>
    <w:rsid w:val="00EA79D9"/>
    <w:rsid w:val="00EB6314"/>
    <w:rsid w:val="00ED42AF"/>
    <w:rsid w:val="00EE489A"/>
    <w:rsid w:val="00EF2CA2"/>
    <w:rsid w:val="00F21E89"/>
    <w:rsid w:val="00F265D5"/>
    <w:rsid w:val="00F65A84"/>
    <w:rsid w:val="00F81C5D"/>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1738</TotalTime>
  <Pages>3</Pages>
  <Words>548</Words>
  <Characters>3129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Ethan Blanchard</cp:lastModifiedBy>
  <cp:revision>48</cp:revision>
  <dcterms:created xsi:type="dcterms:W3CDTF">2022-04-29T20:30:00Z</dcterms:created>
  <dcterms:modified xsi:type="dcterms:W3CDTF">2023-03-23T17:02:00Z</dcterms:modified>
</cp:coreProperties>
</file>